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32" w:rsidRPr="004522C9" w:rsidRDefault="00BC6D32" w:rsidP="00BC6D32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Дисципліна: Підприємницьке право</w:t>
      </w:r>
    </w:p>
    <w:p w:rsidR="00BC6D32" w:rsidRPr="004522C9" w:rsidRDefault="00BC6D32" w:rsidP="00BC6D32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4522C9">
        <w:rPr>
          <w:rStyle w:val="a4"/>
          <w:sz w:val="28"/>
          <w:szCs w:val="28"/>
          <w:lang w:val="uk-UA"/>
        </w:rPr>
        <w:t>Кількість годин (кредитів ЄКТС):</w:t>
      </w:r>
      <w:r w:rsidRPr="004522C9">
        <w:rPr>
          <w:sz w:val="28"/>
          <w:szCs w:val="28"/>
          <w:lang w:val="uk-UA"/>
        </w:rPr>
        <w:t xml:space="preserve"> 90(3)</w:t>
      </w:r>
    </w:p>
    <w:p w:rsidR="00BC6D32" w:rsidRPr="004522C9" w:rsidRDefault="00BC6D32" w:rsidP="00BC6D32">
      <w:pPr>
        <w:pStyle w:val="32"/>
        <w:shd w:val="clear" w:color="auto" w:fill="auto"/>
        <w:spacing w:after="0" w:line="240" w:lineRule="auto"/>
        <w:ind w:left="20" w:right="20" w:firstLine="540"/>
        <w:rPr>
          <w:rFonts w:ascii="Times New Roman" w:hAnsi="Times New Roman"/>
          <w:sz w:val="28"/>
          <w:szCs w:val="28"/>
          <w:lang w:val="uk-UA"/>
        </w:rPr>
      </w:pPr>
    </w:p>
    <w:p w:rsidR="00BC6D32" w:rsidRPr="004522C9" w:rsidRDefault="00BC6D32" w:rsidP="00BC6D32">
      <w:pPr>
        <w:pStyle w:val="32"/>
        <w:shd w:val="clear" w:color="auto" w:fill="auto"/>
        <w:spacing w:after="0" w:line="240" w:lineRule="auto"/>
        <w:ind w:left="20" w:right="20" w:firstLine="540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sz w:val="28"/>
          <w:szCs w:val="28"/>
          <w:lang w:val="uk-UA"/>
        </w:rPr>
        <w:t> </w:t>
      </w:r>
      <w:r w:rsidRPr="004522C9">
        <w:rPr>
          <w:rStyle w:val="a4"/>
          <w:rFonts w:ascii="Times New Roman" w:hAnsi="Times New Roman"/>
          <w:sz w:val="28"/>
          <w:szCs w:val="28"/>
          <w:lang w:val="uk-UA"/>
        </w:rPr>
        <w:t>Мета навчальної дисципліни:</w:t>
      </w:r>
      <w:r w:rsidRPr="004522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2C9">
        <w:rPr>
          <w:rFonts w:ascii="Times New Roman" w:hAnsi="Times New Roman"/>
          <w:sz w:val="28"/>
          <w:szCs w:val="28"/>
          <w:lang w:val="uk-UA"/>
        </w:rPr>
        <w:t>формування системи знань з правового регулювання підприємницької діяльності, організаційно-правових форм здійснення підприємництва.</w:t>
      </w:r>
    </w:p>
    <w:p w:rsidR="00BC6D32" w:rsidRPr="004522C9" w:rsidRDefault="00BC6D32" w:rsidP="00BC6D32">
      <w:pPr>
        <w:shd w:val="clear" w:color="auto" w:fill="FFFFFF"/>
        <w:spacing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sz w:val="28"/>
          <w:szCs w:val="28"/>
          <w:lang w:val="uk-UA"/>
        </w:rPr>
        <w:t>Підприємницька діяльність має особливе значення в умовах ринкової економіки. Саме з розвитком підприємництва пов'язаний подальший розвиток всіх секторів економіки. При цьому, вкрай важливим є оволодіння основами підприємницького права студентами, що здобувають освіту за юридичним напрямком.</w:t>
      </w:r>
    </w:p>
    <w:p w:rsidR="00BC6D32" w:rsidRPr="004522C9" w:rsidRDefault="00BC6D32" w:rsidP="00BC6D32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4522C9">
        <w:rPr>
          <w:rStyle w:val="a4"/>
          <w:sz w:val="28"/>
          <w:szCs w:val="28"/>
          <w:lang w:val="uk-UA"/>
        </w:rPr>
        <w:t>Результати навчання за навчальною дисципліною:</w:t>
      </w:r>
    </w:p>
    <w:p w:rsidR="00BC6D32" w:rsidRPr="004522C9" w:rsidRDefault="00BC6D32" w:rsidP="00BC6D32">
      <w:pPr>
        <w:pStyle w:val="32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  <w:t xml:space="preserve">знати </w:t>
      </w:r>
      <w:r w:rsidRPr="004522C9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основні засади підприємницького права, </w:t>
      </w:r>
      <w:r w:rsidRPr="004522C9">
        <w:rPr>
          <w:rFonts w:ascii="Times New Roman" w:hAnsi="Times New Roman"/>
          <w:sz w:val="28"/>
          <w:szCs w:val="28"/>
          <w:lang w:val="uk-UA"/>
        </w:rPr>
        <w:t>порядок державної реєстрації, ліцензування та патентування деяких видів підприємницької діяльності, а також правове регулювання стандартизації та сертифікації. При цьому, звертається увага на порядок припинення їх діяльності, і застосуванні процедури банкрутства.</w:t>
      </w:r>
    </w:p>
    <w:p w:rsidR="00BC6D32" w:rsidRPr="004522C9" w:rsidRDefault="00BC6D32" w:rsidP="00BC6D3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  <w:t>вміти</w:t>
      </w:r>
      <w:r w:rsidRPr="004522C9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 тлумачити та застосовувати норми законодавства, яке регулює підприємницьке право; приймати обґрунтовані процесуальні рішення у спірних процесуальних ситуаціях; складати претензії, позовні заяви та інші процесуальні документи;</w:t>
      </w:r>
    </w:p>
    <w:p w:rsidR="00BC6D32" w:rsidRPr="004522C9" w:rsidRDefault="00BC6D32" w:rsidP="00BC6D32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6D32" w:rsidRPr="004522C9" w:rsidRDefault="00BC6D32" w:rsidP="00BC6D32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BC6D32" w:rsidRPr="004522C9" w:rsidRDefault="00BC6D32" w:rsidP="00BC6D32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4522C9">
        <w:rPr>
          <w:rStyle w:val="a4"/>
          <w:sz w:val="28"/>
          <w:szCs w:val="28"/>
          <w:lang w:val="uk-UA"/>
        </w:rPr>
        <w:t>Зміст дисципліни (тематика):</w:t>
      </w:r>
    </w:p>
    <w:p w:rsidR="00BC6D32" w:rsidRPr="004522C9" w:rsidRDefault="00BC6D32" w:rsidP="00BC6D32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tbl>
      <w:tblPr>
        <w:tblW w:w="935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BC6D32" w:rsidRPr="004522C9" w:rsidTr="00E51619">
        <w:tc>
          <w:tcPr>
            <w:tcW w:w="7087" w:type="dxa"/>
            <w:shd w:val="clear" w:color="auto" w:fill="auto"/>
            <w:vAlign w:val="center"/>
          </w:tcPr>
          <w:p w:rsidR="00BC6D32" w:rsidRPr="004522C9" w:rsidRDefault="00BC6D32" w:rsidP="00E51619">
            <w:pPr>
              <w:tabs>
                <w:tab w:val="left" w:pos="360"/>
              </w:tabs>
              <w:ind w:left="42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2C9">
              <w:rPr>
                <w:rFonts w:ascii="Times New Roman" w:hAnsi="Times New Roman"/>
                <w:sz w:val="28"/>
                <w:szCs w:val="28"/>
                <w:lang w:val="uk-UA"/>
              </w:rPr>
              <w:t>Тема 1. Поняття підприємницького права та підприємницької діяльності.</w:t>
            </w:r>
          </w:p>
        </w:tc>
      </w:tr>
      <w:tr w:rsidR="00BC6D32" w:rsidRPr="004522C9" w:rsidTr="00E51619">
        <w:tc>
          <w:tcPr>
            <w:tcW w:w="7087" w:type="dxa"/>
            <w:shd w:val="clear" w:color="auto" w:fill="auto"/>
            <w:vAlign w:val="center"/>
          </w:tcPr>
          <w:p w:rsidR="00BC6D32" w:rsidRPr="004522C9" w:rsidRDefault="00BC6D32" w:rsidP="00E51619">
            <w:pPr>
              <w:ind w:left="42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2C9">
              <w:rPr>
                <w:rFonts w:ascii="Times New Roman" w:hAnsi="Times New Roman"/>
                <w:sz w:val="28"/>
                <w:szCs w:val="28"/>
                <w:lang w:val="uk-UA"/>
              </w:rPr>
              <w:t>Тема 2.  регулювання підприємницької діяльності. Стандарти ISO в підприємницькій діяльності.</w:t>
            </w:r>
          </w:p>
        </w:tc>
      </w:tr>
      <w:tr w:rsidR="00BC6D32" w:rsidRPr="004522C9" w:rsidTr="00E51619">
        <w:tc>
          <w:tcPr>
            <w:tcW w:w="7087" w:type="dxa"/>
            <w:shd w:val="clear" w:color="auto" w:fill="auto"/>
            <w:vAlign w:val="center"/>
          </w:tcPr>
          <w:p w:rsidR="00BC6D32" w:rsidRPr="004522C9" w:rsidRDefault="00BC6D32" w:rsidP="00E51619">
            <w:pPr>
              <w:ind w:left="45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2C9">
              <w:rPr>
                <w:rFonts w:ascii="Times New Roman" w:hAnsi="Times New Roman"/>
                <w:sz w:val="28"/>
                <w:szCs w:val="28"/>
                <w:lang w:val="uk-UA"/>
              </w:rPr>
              <w:t>Тема 3. Організація та припинення підприємницької діяльності.</w:t>
            </w:r>
          </w:p>
        </w:tc>
      </w:tr>
      <w:tr w:rsidR="00BC6D32" w:rsidRPr="004522C9" w:rsidTr="00E51619">
        <w:tc>
          <w:tcPr>
            <w:tcW w:w="7087" w:type="dxa"/>
            <w:shd w:val="clear" w:color="auto" w:fill="auto"/>
            <w:vAlign w:val="center"/>
          </w:tcPr>
          <w:p w:rsidR="00BC6D32" w:rsidRPr="004522C9" w:rsidRDefault="00BC6D32" w:rsidP="00E51619">
            <w:pPr>
              <w:ind w:left="42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2C9">
              <w:rPr>
                <w:rFonts w:ascii="Times New Roman" w:hAnsi="Times New Roman"/>
                <w:sz w:val="28"/>
                <w:szCs w:val="28"/>
                <w:lang w:val="uk-UA"/>
              </w:rPr>
              <w:t>Тема 4. Договори у підприємницькій діяльності.</w:t>
            </w:r>
          </w:p>
        </w:tc>
      </w:tr>
      <w:tr w:rsidR="00BC6D32" w:rsidRPr="004522C9" w:rsidTr="00E51619">
        <w:tc>
          <w:tcPr>
            <w:tcW w:w="7087" w:type="dxa"/>
            <w:shd w:val="clear" w:color="auto" w:fill="auto"/>
            <w:vAlign w:val="center"/>
          </w:tcPr>
          <w:p w:rsidR="00BC6D32" w:rsidRPr="004522C9" w:rsidRDefault="00BC6D32" w:rsidP="00E51619">
            <w:pPr>
              <w:pStyle w:val="30"/>
              <w:keepNext/>
              <w:keepLines/>
              <w:shd w:val="clear" w:color="auto" w:fill="auto"/>
              <w:spacing w:line="312" w:lineRule="exact"/>
              <w:ind w:left="459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22C9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Тема 5. Договори співпраці між юридично та фінансово незалежними сторонами</w:t>
            </w:r>
          </w:p>
          <w:p w:rsidR="00BC6D32" w:rsidRPr="004522C9" w:rsidRDefault="00BC6D32" w:rsidP="00E51619">
            <w:pPr>
              <w:pStyle w:val="30"/>
              <w:keepNext/>
              <w:keepLines/>
              <w:shd w:val="clear" w:color="auto" w:fill="auto"/>
              <w:spacing w:line="312" w:lineRule="exact"/>
              <w:ind w:left="459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C6D32" w:rsidRPr="004522C9" w:rsidTr="00E51619">
        <w:tc>
          <w:tcPr>
            <w:tcW w:w="7087" w:type="dxa"/>
            <w:shd w:val="clear" w:color="auto" w:fill="auto"/>
            <w:vAlign w:val="center"/>
          </w:tcPr>
          <w:p w:rsidR="00BC6D32" w:rsidRPr="004522C9" w:rsidRDefault="00BC6D32" w:rsidP="00E51619">
            <w:pPr>
              <w:pStyle w:val="30"/>
              <w:keepNext/>
              <w:keepLines/>
              <w:shd w:val="clear" w:color="auto" w:fill="auto"/>
              <w:spacing w:line="240" w:lineRule="auto"/>
              <w:ind w:left="459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522C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Тема 6. Інтелектуальна власність у сфері підприємницької діяльності. Комерційна реклама.    </w:t>
            </w:r>
          </w:p>
          <w:p w:rsidR="00BC6D32" w:rsidRPr="004522C9" w:rsidRDefault="00BC6D32" w:rsidP="00E51619">
            <w:pPr>
              <w:pStyle w:val="30"/>
              <w:keepNext/>
              <w:keepLines/>
              <w:shd w:val="clear" w:color="auto" w:fill="auto"/>
              <w:spacing w:line="240" w:lineRule="auto"/>
              <w:ind w:left="459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C6D32" w:rsidRPr="004522C9" w:rsidTr="00E51619">
        <w:tc>
          <w:tcPr>
            <w:tcW w:w="7087" w:type="dxa"/>
            <w:shd w:val="clear" w:color="auto" w:fill="auto"/>
            <w:vAlign w:val="center"/>
          </w:tcPr>
          <w:p w:rsidR="00BC6D32" w:rsidRPr="004522C9" w:rsidRDefault="00BC6D32" w:rsidP="00E51619">
            <w:pPr>
              <w:ind w:left="42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2C9">
              <w:rPr>
                <w:rFonts w:ascii="Times New Roman" w:hAnsi="Times New Roman"/>
                <w:sz w:val="28"/>
                <w:szCs w:val="28"/>
                <w:lang w:val="uk-UA"/>
              </w:rPr>
              <w:t>Тема 7. Правове регулювання фінансової діяльності суб'єкта підприємництва.</w:t>
            </w:r>
          </w:p>
        </w:tc>
      </w:tr>
      <w:tr w:rsidR="00BC6D32" w:rsidRPr="004522C9" w:rsidTr="00E51619">
        <w:tc>
          <w:tcPr>
            <w:tcW w:w="7087" w:type="dxa"/>
            <w:shd w:val="clear" w:color="auto" w:fill="auto"/>
            <w:vAlign w:val="center"/>
          </w:tcPr>
          <w:p w:rsidR="00BC6D32" w:rsidRPr="004522C9" w:rsidRDefault="00BC6D32" w:rsidP="00E51619">
            <w:pPr>
              <w:ind w:left="42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2C9">
              <w:rPr>
                <w:rFonts w:ascii="Times New Roman" w:hAnsi="Times New Roman"/>
                <w:sz w:val="28"/>
                <w:szCs w:val="28"/>
                <w:lang w:val="uk-UA"/>
              </w:rPr>
              <w:t>Тема 8. Правове регулювання зовнішньоекономічної діяльності</w:t>
            </w:r>
          </w:p>
        </w:tc>
      </w:tr>
    </w:tbl>
    <w:p w:rsidR="00BC6D32" w:rsidRPr="004522C9" w:rsidRDefault="00BC6D32" w:rsidP="00BC6D32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4522C9">
        <w:rPr>
          <w:rStyle w:val="a4"/>
          <w:sz w:val="28"/>
          <w:szCs w:val="28"/>
          <w:lang w:val="uk-UA"/>
        </w:rPr>
        <w:lastRenderedPageBreak/>
        <w:t>Види робіт:</w:t>
      </w:r>
      <w:r w:rsidRPr="004522C9">
        <w:rPr>
          <w:sz w:val="28"/>
          <w:szCs w:val="28"/>
          <w:lang w:val="uk-UA"/>
        </w:rPr>
        <w:t xml:space="preserve"> лекції, практичні заняття, модульні контрольні роботи,  індивідуальні роботи студентів з викладачем, самостійна робота студентів, консультації, підготовка до заліку, залік.</w:t>
      </w:r>
    </w:p>
    <w:p w:rsidR="00BC6D32" w:rsidRPr="004522C9" w:rsidRDefault="00BC6D32" w:rsidP="00BC6D32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72486" w:rsidRDefault="00A72486">
      <w:bookmarkStart w:id="0" w:name="_GoBack"/>
      <w:bookmarkEnd w:id="0"/>
    </w:p>
    <w:sectPr w:rsidR="00A7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7055"/>
    <w:multiLevelType w:val="hybridMultilevel"/>
    <w:tmpl w:val="8710D68A"/>
    <w:lvl w:ilvl="0" w:tplc="ECDE93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2"/>
    <w:rsid w:val="00A72486"/>
    <w:rsid w:val="00B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32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BC6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D3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BC6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BC6D32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BC6D3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BC6D32"/>
    <w:rPr>
      <w:rFonts w:ascii="Calibri" w:eastAsia="Calibri" w:hAnsi="Calibri" w:cs="Times New Roman"/>
      <w:lang w:val="en-US"/>
    </w:rPr>
  </w:style>
  <w:style w:type="character" w:customStyle="1" w:styleId="3">
    <w:name w:val="Заголовок №3_"/>
    <w:link w:val="30"/>
    <w:rsid w:val="00BC6D32"/>
    <w:rPr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BC6D32"/>
    <w:pPr>
      <w:shd w:val="clear" w:color="auto" w:fill="FFFFFF"/>
      <w:spacing w:after="0" w:line="317" w:lineRule="exact"/>
      <w:outlineLvl w:val="2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customStyle="1" w:styleId="31">
    <w:name w:val="Основной текст (3)_"/>
    <w:link w:val="32"/>
    <w:rsid w:val="00BC6D32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C6D32"/>
    <w:pPr>
      <w:shd w:val="clear" w:color="auto" w:fill="FFFFFF"/>
      <w:spacing w:after="60" w:line="274" w:lineRule="exac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32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BC6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D3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BC6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BC6D32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BC6D3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BC6D32"/>
    <w:rPr>
      <w:rFonts w:ascii="Calibri" w:eastAsia="Calibri" w:hAnsi="Calibri" w:cs="Times New Roman"/>
      <w:lang w:val="en-US"/>
    </w:rPr>
  </w:style>
  <w:style w:type="character" w:customStyle="1" w:styleId="3">
    <w:name w:val="Заголовок №3_"/>
    <w:link w:val="30"/>
    <w:rsid w:val="00BC6D32"/>
    <w:rPr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BC6D32"/>
    <w:pPr>
      <w:shd w:val="clear" w:color="auto" w:fill="FFFFFF"/>
      <w:spacing w:after="0" w:line="317" w:lineRule="exact"/>
      <w:outlineLvl w:val="2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customStyle="1" w:styleId="31">
    <w:name w:val="Основной текст (3)_"/>
    <w:link w:val="32"/>
    <w:rsid w:val="00BC6D32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C6D32"/>
    <w:pPr>
      <w:shd w:val="clear" w:color="auto" w:fill="FFFFFF"/>
      <w:spacing w:after="60" w:line="274" w:lineRule="exac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Chem</dc:creator>
  <cp:lastModifiedBy>Nastya Chem</cp:lastModifiedBy>
  <cp:revision>1</cp:revision>
  <dcterms:created xsi:type="dcterms:W3CDTF">2020-05-07T07:33:00Z</dcterms:created>
  <dcterms:modified xsi:type="dcterms:W3CDTF">2020-05-07T07:33:00Z</dcterms:modified>
</cp:coreProperties>
</file>